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2006"/>
        <w:gridCol w:w="1834"/>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4A72AD02" w14:textId="628200E8" w:rsidR="00DA35B4" w:rsidRDefault="000F666D" w:rsidP="00830098">
            <w:pPr>
              <w:pStyle w:val="Arial10ptBold"/>
              <w:rPr>
                <w:sz w:val="24"/>
                <w:szCs w:val="24"/>
              </w:rPr>
            </w:pPr>
            <w:r w:rsidRPr="00DA35B4">
              <w:rPr>
                <w:sz w:val="24"/>
                <w:szCs w:val="24"/>
              </w:rPr>
              <w:t xml:space="preserve">ELTSA </w:t>
            </w:r>
            <w:r w:rsidR="00DA35B4" w:rsidRPr="00DA35B4">
              <w:rPr>
                <w:sz w:val="24"/>
                <w:szCs w:val="24"/>
              </w:rPr>
              <w:t>Amjad Ali Workshop</w:t>
            </w:r>
          </w:p>
          <w:p w14:paraId="3CE6AA41" w14:textId="4A54E6EE" w:rsidR="00827522" w:rsidRPr="00DA35B4" w:rsidRDefault="005A528D" w:rsidP="00AA492B">
            <w:pPr>
              <w:rPr>
                <w:b/>
                <w:sz w:val="24"/>
                <w:szCs w:val="24"/>
              </w:rPr>
            </w:pPr>
            <w:r>
              <w:rPr>
                <w:b/>
                <w:sz w:val="24"/>
                <w:szCs w:val="24"/>
              </w:rPr>
              <w:t>‘</w:t>
            </w:r>
            <w:r w:rsidR="00AA492B">
              <w:rPr>
                <w:b/>
                <w:sz w:val="24"/>
                <w:szCs w:val="24"/>
              </w:rPr>
              <w:t>SEND/Inclusion’</w:t>
            </w:r>
            <w:bookmarkStart w:id="0" w:name="_GoBack"/>
            <w:bookmarkEnd w:id="0"/>
          </w:p>
        </w:tc>
      </w:tr>
      <w:tr w:rsidR="00A033CB" w14:paraId="20021E34" w14:textId="77777777" w:rsidTr="00830098">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68BFC554" w14:textId="7A72B683" w:rsidR="00A033CB" w:rsidRPr="00DA35B4" w:rsidRDefault="00AA492B" w:rsidP="005A528D">
            <w:pPr>
              <w:rPr>
                <w:sz w:val="24"/>
                <w:szCs w:val="24"/>
              </w:rPr>
            </w:pPr>
            <w:r>
              <w:rPr>
                <w:sz w:val="24"/>
                <w:szCs w:val="24"/>
              </w:rPr>
              <w:t>10</w:t>
            </w:r>
            <w:r w:rsidRPr="00AA492B">
              <w:rPr>
                <w:sz w:val="24"/>
                <w:szCs w:val="24"/>
                <w:vertAlign w:val="superscript"/>
              </w:rPr>
              <w:t>th</w:t>
            </w:r>
            <w:r>
              <w:rPr>
                <w:sz w:val="24"/>
                <w:szCs w:val="24"/>
              </w:rPr>
              <w:t xml:space="preserve"> January 2020</w:t>
            </w:r>
          </w:p>
        </w:tc>
      </w:tr>
      <w:tr w:rsidR="00A033CB" w14:paraId="5F0BF871" w14:textId="77777777" w:rsidTr="00841291">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536F4002" w:rsidR="00A033CB" w:rsidRDefault="00FC2A9C" w:rsidP="00025E9E">
            <w:r>
              <w:t>Tarleton Academy</w:t>
            </w:r>
          </w:p>
        </w:tc>
        <w:tc>
          <w:tcPr>
            <w:tcW w:w="2006" w:type="dxa"/>
            <w:vAlign w:val="center"/>
          </w:tcPr>
          <w:p w14:paraId="64883168" w14:textId="5FDBA0BB" w:rsidR="00A033CB" w:rsidRDefault="00A033CB" w:rsidP="00025E9E">
            <w:r>
              <w:t>Cost</w:t>
            </w:r>
          </w:p>
        </w:tc>
        <w:tc>
          <w:tcPr>
            <w:tcW w:w="1834" w:type="dxa"/>
            <w:vAlign w:val="center"/>
          </w:tcPr>
          <w:p w14:paraId="14320C3B" w14:textId="02EBA0B2" w:rsidR="00A033CB" w:rsidRDefault="00FC2A9C" w:rsidP="00025E9E">
            <w:r>
              <w:t>£50 per session per person</w:t>
            </w:r>
          </w:p>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AA492B">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AA492B">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AA492B">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AA492B">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AA492B">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AA492B">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AA492B">
              <w:rPr>
                <w:b/>
                <w:bCs/>
              </w:rPr>
            </w:r>
            <w:r w:rsidR="00AA492B">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AA492B">
              <w:rPr>
                <w:b/>
                <w:bCs/>
              </w:rPr>
            </w:r>
            <w:r w:rsidR="00AA492B">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AA492B">
        <w:rPr>
          <w:bCs/>
        </w:rPr>
      </w:r>
      <w:r w:rsidR="00AA492B">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Default="0080407A" w:rsidP="00CA5C92">
      <w:pPr>
        <w:spacing w:line="300" w:lineRule="atLeast"/>
        <w:contextualSpacing/>
        <w:rPr>
          <w:b/>
          <w:sz w:val="22"/>
          <w:szCs w:val="22"/>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80407A">
      <w:pPr>
        <w:contextualSpacing/>
        <w:rPr>
          <w:sz w:val="22"/>
          <w:szCs w:val="22"/>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80407A">
      <w:pPr>
        <w:contextualSpacing/>
        <w:rPr>
          <w:sz w:val="22"/>
          <w:szCs w:val="22"/>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6D899F22" w14:textId="77777777" w:rsidR="00076DF5" w:rsidRPr="00025E9E" w:rsidRDefault="00076DF5" w:rsidP="0080407A">
      <w:pPr>
        <w:ind w:left="720" w:firstLine="720"/>
        <w:contextualSpacing/>
        <w:rPr>
          <w:sz w:val="22"/>
          <w:szCs w:val="22"/>
        </w:rPr>
      </w:pPr>
      <w:r w:rsidRPr="00025E9E">
        <w:rPr>
          <w:sz w:val="22"/>
          <w:szCs w:val="22"/>
        </w:rPr>
        <w:t>Preston,</w:t>
      </w:r>
    </w:p>
    <w:p w14:paraId="5CFAA53A" w14:textId="145A171B" w:rsidR="007F0E50" w:rsidRPr="0080407A" w:rsidRDefault="007F0E50" w:rsidP="0080407A">
      <w:pPr>
        <w:ind w:left="720" w:firstLine="720"/>
        <w:contextualSpacing/>
        <w:rPr>
          <w:sz w:val="22"/>
          <w:szCs w:val="22"/>
        </w:rPr>
      </w:pPr>
      <w:r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72F75B98"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AA492B">
      <w:rPr>
        <w:noProof/>
      </w:rPr>
      <w:t>1</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51132"/>
    <w:rsid w:val="00197242"/>
    <w:rsid w:val="001E56F1"/>
    <w:rsid w:val="00202D65"/>
    <w:rsid w:val="00207B57"/>
    <w:rsid w:val="002573AD"/>
    <w:rsid w:val="00300ACE"/>
    <w:rsid w:val="00327AD3"/>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A528D"/>
    <w:rsid w:val="005C2DBF"/>
    <w:rsid w:val="005D4DD6"/>
    <w:rsid w:val="005E3B5F"/>
    <w:rsid w:val="005F6DBA"/>
    <w:rsid w:val="006040EB"/>
    <w:rsid w:val="0062705E"/>
    <w:rsid w:val="00694915"/>
    <w:rsid w:val="006B03FB"/>
    <w:rsid w:val="006D03C2"/>
    <w:rsid w:val="006D2627"/>
    <w:rsid w:val="006E6B2D"/>
    <w:rsid w:val="00721E3D"/>
    <w:rsid w:val="00722E65"/>
    <w:rsid w:val="00733821"/>
    <w:rsid w:val="00753944"/>
    <w:rsid w:val="007959DC"/>
    <w:rsid w:val="007F0E50"/>
    <w:rsid w:val="007F50BD"/>
    <w:rsid w:val="007F7E68"/>
    <w:rsid w:val="0080407A"/>
    <w:rsid w:val="0080591E"/>
    <w:rsid w:val="00827522"/>
    <w:rsid w:val="00830098"/>
    <w:rsid w:val="00841291"/>
    <w:rsid w:val="00845580"/>
    <w:rsid w:val="008654FA"/>
    <w:rsid w:val="00943211"/>
    <w:rsid w:val="00947A4B"/>
    <w:rsid w:val="0096377C"/>
    <w:rsid w:val="009B40E3"/>
    <w:rsid w:val="009F6478"/>
    <w:rsid w:val="00A033CB"/>
    <w:rsid w:val="00A07EA6"/>
    <w:rsid w:val="00A46C06"/>
    <w:rsid w:val="00A53142"/>
    <w:rsid w:val="00AA492B"/>
    <w:rsid w:val="00AE6F11"/>
    <w:rsid w:val="00B5483A"/>
    <w:rsid w:val="00B56850"/>
    <w:rsid w:val="00B61539"/>
    <w:rsid w:val="00B9706B"/>
    <w:rsid w:val="00BE748D"/>
    <w:rsid w:val="00C17FCD"/>
    <w:rsid w:val="00C22E3C"/>
    <w:rsid w:val="00C769F7"/>
    <w:rsid w:val="00CA5C92"/>
    <w:rsid w:val="00CF42CF"/>
    <w:rsid w:val="00D916E7"/>
    <w:rsid w:val="00DA35B4"/>
    <w:rsid w:val="00DB0159"/>
    <w:rsid w:val="00DD2E9D"/>
    <w:rsid w:val="00DD445D"/>
    <w:rsid w:val="00E0786F"/>
    <w:rsid w:val="00E41DF2"/>
    <w:rsid w:val="00ED65AA"/>
    <w:rsid w:val="00EE6AB4"/>
    <w:rsid w:val="00EF019E"/>
    <w:rsid w:val="00F37EE6"/>
    <w:rsid w:val="00F673DC"/>
    <w:rsid w:val="00F73ADD"/>
    <w:rsid w:val="00F92095"/>
    <w:rsid w:val="00FC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0B80A-A27B-4124-9D3C-9C0A272E79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f040c1-15a6-4522-b1ff-4c9984a7cfc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DC20B-991D-4658-AD90-E50596865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6526</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3</cp:revision>
  <cp:lastPrinted>2019-06-04T11:25:00Z</cp:lastPrinted>
  <dcterms:created xsi:type="dcterms:W3CDTF">2019-06-04T11:26:00Z</dcterms:created>
  <dcterms:modified xsi:type="dcterms:W3CDTF">2019-06-04T11:27:00Z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